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E7" w:rsidRPr="007E13AF" w:rsidRDefault="00C817E7" w:rsidP="00C817E7">
      <w:pPr>
        <w:spacing w:line="360" w:lineRule="auto"/>
        <w:jc w:val="center"/>
        <w:rPr>
          <w:rFonts w:ascii="標楷體" w:eastAsia="標楷體" w:hAnsi="標楷體"/>
          <w:sz w:val="32"/>
          <w:szCs w:val="32"/>
        </w:rPr>
      </w:pPr>
      <w:bookmarkStart w:id="0" w:name="_GoBack"/>
      <w:r w:rsidRPr="007E13AF">
        <w:rPr>
          <w:rFonts w:ascii="標楷體" w:eastAsia="標楷體" w:hAnsi="標楷體" w:hint="eastAsia"/>
          <w:sz w:val="32"/>
          <w:szCs w:val="32"/>
        </w:rPr>
        <w:t>國立虎尾科技大學</w:t>
      </w:r>
      <w:proofErr w:type="gramStart"/>
      <w:r w:rsidRPr="007E13AF">
        <w:rPr>
          <w:rFonts w:ascii="標楷體" w:eastAsia="標楷體" w:hAnsi="標楷體"/>
          <w:sz w:val="32"/>
          <w:szCs w:val="32"/>
        </w:rPr>
        <w:t>學</w:t>
      </w:r>
      <w:proofErr w:type="gramEnd"/>
      <w:r w:rsidRPr="007E13AF">
        <w:rPr>
          <w:rFonts w:ascii="標楷體" w:eastAsia="標楷體" w:hAnsi="標楷體"/>
          <w:sz w:val="32"/>
          <w:szCs w:val="32"/>
        </w:rPr>
        <w:t>雜費收入收支管理要點</w:t>
      </w:r>
    </w:p>
    <w:bookmarkEnd w:id="0"/>
    <w:p w:rsidR="00C817E7" w:rsidRDefault="00C817E7" w:rsidP="00C817E7">
      <w:pPr>
        <w:spacing w:line="360" w:lineRule="auto"/>
        <w:jc w:val="right"/>
        <w:textDirection w:val="lrTbV"/>
        <w:rPr>
          <w:rFonts w:eastAsia="標楷體"/>
          <w:sz w:val="20"/>
        </w:rPr>
      </w:pPr>
      <w:r w:rsidRPr="00681711">
        <w:rPr>
          <w:rFonts w:eastAsia="標楷體" w:hint="eastAsia"/>
          <w:sz w:val="20"/>
        </w:rPr>
        <w:t>105</w:t>
      </w:r>
      <w:r w:rsidRPr="00681711">
        <w:rPr>
          <w:rFonts w:eastAsia="標楷體" w:hint="eastAsia"/>
          <w:sz w:val="20"/>
        </w:rPr>
        <w:t>年</w:t>
      </w:r>
      <w:r w:rsidRPr="00681711">
        <w:rPr>
          <w:rFonts w:eastAsia="標楷體" w:hint="eastAsia"/>
          <w:sz w:val="20"/>
        </w:rPr>
        <w:t>12</w:t>
      </w:r>
      <w:r w:rsidRPr="00681711">
        <w:rPr>
          <w:rFonts w:eastAsia="標楷體" w:hint="eastAsia"/>
          <w:sz w:val="20"/>
        </w:rPr>
        <w:t>月</w:t>
      </w:r>
      <w:r w:rsidRPr="00681711">
        <w:rPr>
          <w:rFonts w:eastAsia="標楷體" w:hint="eastAsia"/>
          <w:sz w:val="20"/>
        </w:rPr>
        <w:t>07</w:t>
      </w:r>
      <w:r w:rsidRPr="00681711">
        <w:rPr>
          <w:rFonts w:eastAsia="標楷體" w:hint="eastAsia"/>
          <w:sz w:val="20"/>
        </w:rPr>
        <w:t>日</w:t>
      </w:r>
      <w:r w:rsidRPr="00681711">
        <w:rPr>
          <w:rFonts w:eastAsia="標楷體" w:hint="eastAsia"/>
          <w:sz w:val="20"/>
        </w:rPr>
        <w:t xml:space="preserve"> 105</w:t>
      </w:r>
      <w:r w:rsidRPr="00681711">
        <w:rPr>
          <w:rFonts w:eastAsia="標楷體" w:hint="eastAsia"/>
          <w:sz w:val="20"/>
        </w:rPr>
        <w:t>學年度第</w:t>
      </w:r>
      <w:r w:rsidRPr="00681711">
        <w:rPr>
          <w:rFonts w:eastAsia="標楷體" w:hint="eastAsia"/>
          <w:sz w:val="20"/>
        </w:rPr>
        <w:t>2</w:t>
      </w:r>
      <w:r w:rsidRPr="00681711">
        <w:rPr>
          <w:rFonts w:eastAsia="標楷體" w:hint="eastAsia"/>
          <w:sz w:val="20"/>
        </w:rPr>
        <w:t>次校務基金管理委員會議通過</w:t>
      </w:r>
    </w:p>
    <w:p w:rsidR="00C817E7" w:rsidRDefault="00C817E7" w:rsidP="00C817E7">
      <w:pPr>
        <w:spacing w:line="360" w:lineRule="auto"/>
        <w:jc w:val="right"/>
        <w:textDirection w:val="lrTbV"/>
        <w:rPr>
          <w:rFonts w:eastAsia="標楷體"/>
          <w:sz w:val="20"/>
        </w:rPr>
      </w:pPr>
    </w:p>
    <w:p w:rsidR="00C817E7" w:rsidRPr="00DF5F0E" w:rsidRDefault="00C817E7" w:rsidP="00C817E7">
      <w:pPr>
        <w:spacing w:line="360" w:lineRule="auto"/>
        <w:ind w:left="516" w:hangingChars="215" w:hanging="516"/>
        <w:rPr>
          <w:rFonts w:eastAsia="標楷體"/>
        </w:rPr>
      </w:pPr>
      <w:r w:rsidRPr="00DF5F0E">
        <w:rPr>
          <w:rFonts w:eastAsia="標楷體"/>
        </w:rPr>
        <w:t>一、</w:t>
      </w:r>
      <w:r>
        <w:rPr>
          <w:rFonts w:eastAsia="標楷體" w:hint="eastAsia"/>
        </w:rPr>
        <w:t>國立虎尾科技大學</w:t>
      </w:r>
      <w:r>
        <w:rPr>
          <w:rFonts w:eastAsia="標楷體" w:hint="eastAsia"/>
        </w:rPr>
        <w:t>(</w:t>
      </w:r>
      <w:r>
        <w:rPr>
          <w:rFonts w:eastAsia="標楷體" w:hint="eastAsia"/>
        </w:rPr>
        <w:t>以下簡稱本校</w:t>
      </w:r>
      <w:r>
        <w:rPr>
          <w:rFonts w:eastAsia="標楷體" w:hint="eastAsia"/>
        </w:rPr>
        <w:t>)</w:t>
      </w:r>
      <w:r>
        <w:rPr>
          <w:rFonts w:eastAsia="標楷體" w:hint="eastAsia"/>
        </w:rPr>
        <w:t>依據</w:t>
      </w:r>
      <w:r w:rsidRPr="00DF5F0E">
        <w:rPr>
          <w:rFonts w:eastAsia="標楷體"/>
        </w:rPr>
        <w:t>「國立大學</w:t>
      </w:r>
      <w:r>
        <w:rPr>
          <w:rFonts w:eastAsia="標楷體" w:hint="eastAsia"/>
        </w:rPr>
        <w:t>校院</w:t>
      </w:r>
      <w:r w:rsidRPr="00DF5F0E">
        <w:rPr>
          <w:rFonts w:eastAsia="標楷體"/>
        </w:rPr>
        <w:t>校務基金設置條例」及「國立大學校院校務基金管理及監督辦法」規定</w:t>
      </w:r>
      <w:r>
        <w:rPr>
          <w:rFonts w:ascii="標楷體" w:eastAsia="標楷體" w:hAnsi="標楷體" w:hint="eastAsia"/>
        </w:rPr>
        <w:t>，特</w:t>
      </w:r>
      <w:r w:rsidRPr="00DF5F0E">
        <w:rPr>
          <w:rFonts w:eastAsia="標楷體"/>
        </w:rPr>
        <w:t>訂定</w:t>
      </w:r>
      <w:r>
        <w:rPr>
          <w:rFonts w:eastAsia="標楷體" w:hint="eastAsia"/>
        </w:rPr>
        <w:t>本校</w:t>
      </w:r>
      <w:r w:rsidRPr="00A57702">
        <w:rPr>
          <w:rFonts w:eastAsia="標楷體" w:hint="eastAsia"/>
        </w:rPr>
        <w:t>學雜費收入收支管理要點</w:t>
      </w:r>
      <w:r w:rsidRPr="00A57702">
        <w:rPr>
          <w:rFonts w:eastAsia="標楷體" w:hint="eastAsia"/>
        </w:rPr>
        <w:t>(</w:t>
      </w:r>
      <w:r w:rsidRPr="00A57702">
        <w:rPr>
          <w:rFonts w:eastAsia="標楷體" w:hint="eastAsia"/>
        </w:rPr>
        <w:t>以下簡稱本</w:t>
      </w:r>
      <w:r>
        <w:rPr>
          <w:rFonts w:eastAsia="標楷體" w:hint="eastAsia"/>
        </w:rPr>
        <w:t>要點</w:t>
      </w:r>
      <w:r w:rsidRPr="00A57702">
        <w:rPr>
          <w:rFonts w:eastAsia="標楷體" w:hint="eastAsia"/>
        </w:rPr>
        <w:t>)</w:t>
      </w:r>
      <w:r w:rsidRPr="00DF5F0E">
        <w:rPr>
          <w:rFonts w:eastAsia="標楷體"/>
        </w:rPr>
        <w:t>。</w:t>
      </w:r>
    </w:p>
    <w:p w:rsidR="00C817E7" w:rsidRPr="00DF5F0E" w:rsidRDefault="00C817E7" w:rsidP="00C817E7">
      <w:pPr>
        <w:spacing w:line="360" w:lineRule="auto"/>
        <w:ind w:left="516" w:rightChars="-9" w:right="-22" w:hangingChars="215" w:hanging="516"/>
        <w:rPr>
          <w:rFonts w:eastAsia="標楷體"/>
        </w:rPr>
      </w:pPr>
      <w:r w:rsidRPr="00DF5F0E">
        <w:rPr>
          <w:rFonts w:eastAsia="標楷體"/>
        </w:rPr>
        <w:t>二、本要點所指之學雜費收入為學校向學生收取與教學活動直接或間接相關費用之收入。</w:t>
      </w:r>
    </w:p>
    <w:p w:rsidR="00C817E7" w:rsidRPr="00DF5F0E" w:rsidRDefault="00C817E7" w:rsidP="00C817E7">
      <w:pPr>
        <w:spacing w:line="360" w:lineRule="auto"/>
        <w:ind w:left="516" w:hangingChars="215" w:hanging="516"/>
        <w:rPr>
          <w:rFonts w:eastAsia="標楷體"/>
        </w:rPr>
      </w:pPr>
      <w:r w:rsidRPr="00DF5F0E">
        <w:rPr>
          <w:rFonts w:eastAsia="標楷體"/>
        </w:rPr>
        <w:t>三、本校學雜費收入</w:t>
      </w:r>
      <w:r>
        <w:rPr>
          <w:rFonts w:eastAsia="標楷體" w:hint="eastAsia"/>
        </w:rPr>
        <w:t>應全數</w:t>
      </w:r>
      <w:r w:rsidRPr="00DF5F0E">
        <w:rPr>
          <w:rFonts w:eastAsia="標楷體"/>
        </w:rPr>
        <w:t>納入校務基金預算，由</w:t>
      </w:r>
      <w:r>
        <w:rPr>
          <w:rFonts w:eastAsia="標楷體" w:hint="eastAsia"/>
        </w:rPr>
        <w:t>學校</w:t>
      </w:r>
      <w:r w:rsidRPr="00DF5F0E">
        <w:rPr>
          <w:rFonts w:eastAsia="標楷體"/>
        </w:rPr>
        <w:t>統籌運用管理。</w:t>
      </w:r>
    </w:p>
    <w:p w:rsidR="00C817E7" w:rsidRPr="00DF5F0E" w:rsidRDefault="00C817E7" w:rsidP="00C817E7">
      <w:pPr>
        <w:spacing w:line="360" w:lineRule="auto"/>
        <w:ind w:left="516" w:hangingChars="215" w:hanging="516"/>
        <w:rPr>
          <w:rFonts w:eastAsia="標楷體"/>
        </w:rPr>
      </w:pPr>
      <w:r w:rsidRPr="00DF5F0E">
        <w:rPr>
          <w:rFonts w:eastAsia="標楷體"/>
        </w:rPr>
        <w:t>四、</w:t>
      </w:r>
      <w:r>
        <w:rPr>
          <w:rFonts w:eastAsia="標楷體" w:hint="eastAsia"/>
        </w:rPr>
        <w:t>學雜費收入得支應下列事項</w:t>
      </w:r>
      <w:r w:rsidRPr="00DF5F0E">
        <w:rPr>
          <w:rFonts w:eastAsia="標楷體"/>
        </w:rPr>
        <w:t>：</w:t>
      </w:r>
    </w:p>
    <w:p w:rsidR="00C817E7" w:rsidRPr="00DF5F0E" w:rsidRDefault="00C817E7" w:rsidP="00C817E7">
      <w:pPr>
        <w:spacing w:line="360" w:lineRule="auto"/>
        <w:ind w:leftChars="215" w:left="516"/>
        <w:rPr>
          <w:rFonts w:eastAsia="標楷體"/>
        </w:rPr>
      </w:pPr>
      <w:r w:rsidRPr="00DF5F0E">
        <w:rPr>
          <w:rFonts w:eastAsia="標楷體"/>
        </w:rPr>
        <w:t>(</w:t>
      </w:r>
      <w:proofErr w:type="gramStart"/>
      <w:r w:rsidRPr="00DF5F0E">
        <w:rPr>
          <w:rFonts w:eastAsia="標楷體"/>
        </w:rPr>
        <w:t>一</w:t>
      </w:r>
      <w:proofErr w:type="gramEnd"/>
      <w:r w:rsidRPr="00DF5F0E">
        <w:rPr>
          <w:rFonts w:eastAsia="標楷體"/>
        </w:rPr>
        <w:t xml:space="preserve">) </w:t>
      </w:r>
      <w:r w:rsidRPr="00DF5F0E">
        <w:rPr>
          <w:rFonts w:eastAsia="標楷體"/>
        </w:rPr>
        <w:t>教學及研究支出。</w:t>
      </w:r>
    </w:p>
    <w:p w:rsidR="00C817E7" w:rsidRPr="00DF5F0E" w:rsidRDefault="00C817E7" w:rsidP="00C817E7">
      <w:pPr>
        <w:spacing w:line="360" w:lineRule="auto"/>
        <w:ind w:leftChars="215" w:left="516"/>
        <w:rPr>
          <w:rFonts w:eastAsia="標楷體"/>
        </w:rPr>
      </w:pPr>
      <w:r w:rsidRPr="00DF5F0E">
        <w:rPr>
          <w:rFonts w:eastAsia="標楷體"/>
        </w:rPr>
        <w:t>(</w:t>
      </w:r>
      <w:r w:rsidRPr="00DF5F0E">
        <w:rPr>
          <w:rFonts w:eastAsia="標楷體"/>
        </w:rPr>
        <w:t>二</w:t>
      </w:r>
      <w:r w:rsidRPr="00DF5F0E">
        <w:rPr>
          <w:rFonts w:eastAsia="標楷體"/>
        </w:rPr>
        <w:t xml:space="preserve">) </w:t>
      </w:r>
      <w:r w:rsidRPr="00DF5F0E">
        <w:rPr>
          <w:rFonts w:eastAsia="標楷體"/>
        </w:rPr>
        <w:t>人事費用支出。</w:t>
      </w:r>
    </w:p>
    <w:p w:rsidR="00C817E7" w:rsidRPr="00DF5F0E" w:rsidRDefault="00C817E7" w:rsidP="00C817E7">
      <w:pPr>
        <w:spacing w:line="360" w:lineRule="auto"/>
        <w:ind w:leftChars="215" w:left="516"/>
        <w:rPr>
          <w:rFonts w:eastAsia="標楷體"/>
        </w:rPr>
      </w:pPr>
      <w:r w:rsidRPr="00DF5F0E">
        <w:rPr>
          <w:rFonts w:eastAsia="標楷體"/>
        </w:rPr>
        <w:t>(</w:t>
      </w:r>
      <w:r w:rsidRPr="00DF5F0E">
        <w:rPr>
          <w:rFonts w:eastAsia="標楷體"/>
        </w:rPr>
        <w:t>三</w:t>
      </w:r>
      <w:r w:rsidRPr="00DF5F0E">
        <w:rPr>
          <w:rFonts w:eastAsia="標楷體"/>
        </w:rPr>
        <w:t xml:space="preserve">) </w:t>
      </w:r>
      <w:r w:rsidRPr="00DF5F0E">
        <w:rPr>
          <w:rFonts w:eastAsia="標楷體"/>
        </w:rPr>
        <w:t>學生獎助金支出。</w:t>
      </w:r>
    </w:p>
    <w:p w:rsidR="00C817E7" w:rsidRPr="0008435F" w:rsidRDefault="00C817E7" w:rsidP="00C817E7">
      <w:pPr>
        <w:spacing w:line="360" w:lineRule="auto"/>
        <w:ind w:leftChars="215" w:left="516"/>
        <w:rPr>
          <w:rFonts w:eastAsia="標楷體"/>
        </w:rPr>
      </w:pPr>
      <w:r w:rsidRPr="00DF5F0E">
        <w:rPr>
          <w:rFonts w:eastAsia="標楷體"/>
        </w:rPr>
        <w:t>(</w:t>
      </w:r>
      <w:r w:rsidRPr="00DF5F0E">
        <w:rPr>
          <w:rFonts w:eastAsia="標楷體"/>
        </w:rPr>
        <w:t>四</w:t>
      </w:r>
      <w:r w:rsidRPr="00DF5F0E">
        <w:rPr>
          <w:rFonts w:eastAsia="標楷體"/>
        </w:rPr>
        <w:t xml:space="preserve">) </w:t>
      </w:r>
      <w:r w:rsidRPr="00DF5F0E">
        <w:rPr>
          <w:rFonts w:eastAsia="標楷體"/>
        </w:rPr>
        <w:t>增置、擴充、改良資產支出。</w:t>
      </w:r>
    </w:p>
    <w:p w:rsidR="00C817E7" w:rsidRPr="00DF5F0E" w:rsidRDefault="00C817E7" w:rsidP="00C817E7">
      <w:pPr>
        <w:spacing w:line="360" w:lineRule="auto"/>
        <w:ind w:leftChars="215" w:left="516"/>
        <w:rPr>
          <w:rFonts w:eastAsia="標楷體"/>
        </w:rPr>
      </w:pPr>
      <w:r w:rsidRPr="0008435F">
        <w:rPr>
          <w:rFonts w:eastAsia="標楷體"/>
        </w:rPr>
        <w:t>(</w:t>
      </w:r>
      <w:r w:rsidRPr="0008435F">
        <w:rPr>
          <w:rFonts w:eastAsia="標楷體"/>
        </w:rPr>
        <w:t>五</w:t>
      </w:r>
      <w:r w:rsidRPr="0008435F">
        <w:rPr>
          <w:rFonts w:eastAsia="標楷體"/>
        </w:rPr>
        <w:t xml:space="preserve">) </w:t>
      </w:r>
      <w:r w:rsidRPr="00DF5F0E">
        <w:rPr>
          <w:rFonts w:eastAsia="標楷體"/>
        </w:rPr>
        <w:t>其他與校務發展有關之支出。</w:t>
      </w:r>
    </w:p>
    <w:p w:rsidR="00C817E7" w:rsidRPr="00DF5F0E" w:rsidRDefault="00C817E7" w:rsidP="00C817E7">
      <w:pPr>
        <w:spacing w:line="360" w:lineRule="auto"/>
        <w:ind w:left="516" w:hangingChars="215" w:hanging="516"/>
        <w:rPr>
          <w:rFonts w:eastAsia="標楷體"/>
        </w:rPr>
      </w:pPr>
      <w:r w:rsidRPr="00DF5F0E">
        <w:rPr>
          <w:rFonts w:eastAsia="標楷體"/>
        </w:rPr>
        <w:t>五、本要點如有未盡事宜，悉依教育部「國立大學校院校務基金設置條例」及「國立大學校院校務基金管理及監督辦法」相關規定辦理。</w:t>
      </w:r>
    </w:p>
    <w:p w:rsidR="00C817E7" w:rsidRDefault="00C817E7" w:rsidP="00C817E7">
      <w:r w:rsidRPr="00DF5F0E">
        <w:rPr>
          <w:rFonts w:eastAsia="標楷體"/>
        </w:rPr>
        <w:t>六、本要點經校務基金管理委員會審議通過</w:t>
      </w:r>
      <w:r>
        <w:rPr>
          <w:rFonts w:ascii="標楷體" w:eastAsia="標楷體" w:hAnsi="標楷體" w:hint="eastAsia"/>
        </w:rPr>
        <w:t>，</w:t>
      </w:r>
      <w:r>
        <w:rPr>
          <w:rFonts w:eastAsia="標楷體" w:hint="eastAsia"/>
        </w:rPr>
        <w:t>並經核定後實施</w:t>
      </w:r>
      <w:r>
        <w:rPr>
          <w:rFonts w:ascii="標楷體" w:eastAsia="標楷體" w:hAnsi="標楷體" w:hint="eastAsia"/>
        </w:rPr>
        <w:t>，</w:t>
      </w:r>
      <w:r>
        <w:rPr>
          <w:rFonts w:eastAsia="標楷體" w:hint="eastAsia"/>
        </w:rPr>
        <w:t>修正時亦同</w:t>
      </w:r>
      <w:r w:rsidRPr="00DF5F0E">
        <w:rPr>
          <w:rFonts w:eastAsia="標楷體"/>
        </w:rPr>
        <w:t>。</w:t>
      </w:r>
    </w:p>
    <w:p w:rsidR="006D5845" w:rsidRPr="00C817E7" w:rsidRDefault="006D5845" w:rsidP="00C817E7"/>
    <w:sectPr w:rsidR="006D5845" w:rsidRPr="00C817E7" w:rsidSect="005C1752">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91" w:rsidRDefault="00C16091" w:rsidP="000A7B41">
      <w:r>
        <w:separator/>
      </w:r>
    </w:p>
  </w:endnote>
  <w:endnote w:type="continuationSeparator" w:id="0">
    <w:p w:rsidR="00C16091" w:rsidRDefault="00C16091" w:rsidP="000A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AC" w:rsidRDefault="00CC24AC" w:rsidP="00CC24AC">
    <w:pPr>
      <w:pStyle w:val="a5"/>
      <w:jc w:val="center"/>
    </w:pPr>
    <w:r>
      <w:rPr>
        <w:rFonts w:ascii="標楷體" w:eastAsia="標楷體" w:hAnsi="標楷體" w:hint="eastAsia"/>
      </w:rPr>
      <w:t>附件1</w:t>
    </w:r>
    <w:r w:rsidR="00C817E7">
      <w:rPr>
        <w:rFonts w:ascii="標楷體" w:eastAsia="標楷體" w:hAnsi="標楷體" w:hint="eastAsia"/>
      </w:rPr>
      <w:t>1</w:t>
    </w:r>
    <w:r>
      <w:rPr>
        <w:rFonts w:ascii="標楷體" w:eastAsia="標楷體" w:hAnsi="標楷體" w:hint="eastAsia"/>
      </w:rPr>
      <w:t>-第</w:t>
    </w:r>
    <w:r>
      <w:rPr>
        <w:rStyle w:val="a8"/>
        <w:rFonts w:ascii="標楷體" w:eastAsia="標楷體" w:hAnsi="標楷體" w:hint="eastAsia"/>
      </w:rPr>
      <w:fldChar w:fldCharType="begin"/>
    </w:r>
    <w:r>
      <w:rPr>
        <w:rStyle w:val="a8"/>
        <w:rFonts w:ascii="標楷體" w:eastAsia="標楷體" w:hAnsi="標楷體" w:hint="eastAsia"/>
      </w:rPr>
      <w:instrText xml:space="preserve"> PAGE </w:instrText>
    </w:r>
    <w:r>
      <w:rPr>
        <w:rStyle w:val="a8"/>
        <w:rFonts w:ascii="標楷體" w:eastAsia="標楷體" w:hAnsi="標楷體" w:hint="eastAsia"/>
      </w:rPr>
      <w:fldChar w:fldCharType="separate"/>
    </w:r>
    <w:r w:rsidR="00C817E7">
      <w:rPr>
        <w:rStyle w:val="a8"/>
        <w:rFonts w:ascii="標楷體" w:eastAsia="標楷體" w:hAnsi="標楷體"/>
        <w:noProof/>
      </w:rPr>
      <w:t>1</w:t>
    </w:r>
    <w:r>
      <w:rPr>
        <w:rStyle w:val="a8"/>
        <w:rFonts w:ascii="標楷體" w:eastAsia="標楷體" w:hAnsi="標楷體" w:hint="eastAsia"/>
      </w:rPr>
      <w:fldChar w:fldCharType="end"/>
    </w:r>
    <w:r>
      <w:rPr>
        <w:rStyle w:val="a8"/>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91" w:rsidRDefault="00C16091" w:rsidP="000A7B41">
      <w:r>
        <w:separator/>
      </w:r>
    </w:p>
  </w:footnote>
  <w:footnote w:type="continuationSeparator" w:id="0">
    <w:p w:rsidR="00C16091" w:rsidRDefault="00C16091" w:rsidP="000A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AC" w:rsidRDefault="00CC24AC" w:rsidP="00CC24AC">
    <w:pPr>
      <w:pStyle w:val="a3"/>
      <w:jc w:val="right"/>
    </w:pPr>
    <w:r>
      <w:rPr>
        <w:rFonts w:ascii="標楷體" w:eastAsia="標楷體" w:hAnsi="標楷體" w:hint="eastAsia"/>
        <w:b/>
      </w:rPr>
      <w:t>附件1</w:t>
    </w:r>
    <w:r w:rsidR="00C817E7">
      <w:rPr>
        <w:rFonts w:ascii="標楷體" w:eastAsia="標楷體" w:hAnsi="標楷體" w:hint="eastAsia"/>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B2376"/>
    <w:multiLevelType w:val="hybridMultilevel"/>
    <w:tmpl w:val="8F9265C0"/>
    <w:lvl w:ilvl="0" w:tplc="C15456F0">
      <w:start w:val="1"/>
      <w:numFmt w:val="taiwaneseCountingThousand"/>
      <w:lvlText w:val="%1、"/>
      <w:lvlJc w:val="left"/>
      <w:pPr>
        <w:ind w:left="2430" w:hanging="510"/>
      </w:pPr>
      <w:rPr>
        <w:rFonts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243963EC"/>
    <w:multiLevelType w:val="hybridMultilevel"/>
    <w:tmpl w:val="616CDF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B11AEC"/>
    <w:multiLevelType w:val="hybridMultilevel"/>
    <w:tmpl w:val="5EEA91FA"/>
    <w:lvl w:ilvl="0" w:tplc="04090015">
      <w:start w:val="1"/>
      <w:numFmt w:val="taiwaneseCountingThousand"/>
      <w:lvlText w:val="%1、"/>
      <w:lvlJc w:val="left"/>
      <w:pPr>
        <w:tabs>
          <w:tab w:val="num" w:pos="480"/>
        </w:tabs>
        <w:ind w:left="480" w:hanging="480"/>
      </w:pPr>
      <w:rPr>
        <w:rFonts w:cs="Times New Roman"/>
      </w:rPr>
    </w:lvl>
    <w:lvl w:ilvl="1" w:tplc="143E03B6">
      <w:start w:val="1"/>
      <w:numFmt w:val="taiwaneseCountingThousand"/>
      <w:lvlText w:val="(%2)"/>
      <w:lvlJc w:val="left"/>
      <w:pPr>
        <w:tabs>
          <w:tab w:val="num" w:pos="1418"/>
        </w:tabs>
        <w:ind w:left="1418" w:hanging="851"/>
      </w:pPr>
      <w:rPr>
        <w:rFonts w:cs="Times New Roman" w:hint="eastAsia"/>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0F302B7"/>
    <w:multiLevelType w:val="hybridMultilevel"/>
    <w:tmpl w:val="8F6455E6"/>
    <w:lvl w:ilvl="0" w:tplc="DB3ADB14">
      <w:start w:val="1"/>
      <w:numFmt w:val="taiwaneseCountingThousand"/>
      <w:lvlText w:val="第%1條"/>
      <w:lvlJc w:val="left"/>
      <w:pPr>
        <w:tabs>
          <w:tab w:val="num" w:pos="284"/>
        </w:tabs>
        <w:ind w:left="284" w:hanging="284"/>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52"/>
    <w:rsid w:val="00030FFE"/>
    <w:rsid w:val="000A7B41"/>
    <w:rsid w:val="0012384F"/>
    <w:rsid w:val="002D7B44"/>
    <w:rsid w:val="003A0FF8"/>
    <w:rsid w:val="003B092A"/>
    <w:rsid w:val="004429EC"/>
    <w:rsid w:val="00464976"/>
    <w:rsid w:val="00494F74"/>
    <w:rsid w:val="004A2A00"/>
    <w:rsid w:val="005C1752"/>
    <w:rsid w:val="005C3C12"/>
    <w:rsid w:val="006D5845"/>
    <w:rsid w:val="006E471B"/>
    <w:rsid w:val="0074392F"/>
    <w:rsid w:val="007607D0"/>
    <w:rsid w:val="00815E61"/>
    <w:rsid w:val="009219C1"/>
    <w:rsid w:val="00951627"/>
    <w:rsid w:val="00B53D74"/>
    <w:rsid w:val="00B66EC3"/>
    <w:rsid w:val="00C16091"/>
    <w:rsid w:val="00C817E7"/>
    <w:rsid w:val="00C856B3"/>
    <w:rsid w:val="00CC24AC"/>
    <w:rsid w:val="00DB64C3"/>
    <w:rsid w:val="00DB6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B9718-56E3-4439-AB61-D6E480AB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7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7B41"/>
    <w:pPr>
      <w:tabs>
        <w:tab w:val="center" w:pos="4153"/>
        <w:tab w:val="right" w:pos="8306"/>
      </w:tabs>
      <w:snapToGrid w:val="0"/>
    </w:pPr>
    <w:rPr>
      <w:sz w:val="20"/>
      <w:szCs w:val="20"/>
    </w:rPr>
  </w:style>
  <w:style w:type="character" w:customStyle="1" w:styleId="a4">
    <w:name w:val="頁首 字元"/>
    <w:basedOn w:val="a0"/>
    <w:link w:val="a3"/>
    <w:uiPriority w:val="99"/>
    <w:rsid w:val="000A7B41"/>
    <w:rPr>
      <w:rFonts w:ascii="Times New Roman" w:eastAsia="新細明體" w:hAnsi="Times New Roman" w:cs="Times New Roman"/>
      <w:sz w:val="20"/>
      <w:szCs w:val="20"/>
    </w:rPr>
  </w:style>
  <w:style w:type="paragraph" w:styleId="a5">
    <w:name w:val="footer"/>
    <w:basedOn w:val="a"/>
    <w:link w:val="a6"/>
    <w:unhideWhenUsed/>
    <w:rsid w:val="000A7B41"/>
    <w:pPr>
      <w:tabs>
        <w:tab w:val="center" w:pos="4153"/>
        <w:tab w:val="right" w:pos="8306"/>
      </w:tabs>
      <w:snapToGrid w:val="0"/>
    </w:pPr>
    <w:rPr>
      <w:sz w:val="20"/>
      <w:szCs w:val="20"/>
    </w:rPr>
  </w:style>
  <w:style w:type="character" w:customStyle="1" w:styleId="a6">
    <w:name w:val="頁尾 字元"/>
    <w:basedOn w:val="a0"/>
    <w:link w:val="a5"/>
    <w:uiPriority w:val="99"/>
    <w:rsid w:val="000A7B41"/>
    <w:rPr>
      <w:rFonts w:ascii="Times New Roman" w:eastAsia="新細明體" w:hAnsi="Times New Roman" w:cs="Times New Roman"/>
      <w:sz w:val="20"/>
      <w:szCs w:val="20"/>
    </w:rPr>
  </w:style>
  <w:style w:type="paragraph" w:customStyle="1" w:styleId="Default">
    <w:name w:val="Default"/>
    <w:rsid w:val="000A7B41"/>
    <w:pPr>
      <w:widowControl w:val="0"/>
      <w:autoSpaceDE w:val="0"/>
      <w:autoSpaceDN w:val="0"/>
      <w:adjustRightInd w:val="0"/>
    </w:pPr>
    <w:rPr>
      <w:rFonts w:ascii="標楷體" w:eastAsia="標楷體" w:hAnsi="Times New Roman" w:cs="標楷體"/>
      <w:color w:val="000000"/>
      <w:kern w:val="0"/>
      <w:szCs w:val="24"/>
    </w:rPr>
  </w:style>
  <w:style w:type="paragraph" w:styleId="a7">
    <w:name w:val="List Paragraph"/>
    <w:basedOn w:val="a"/>
    <w:uiPriority w:val="34"/>
    <w:qFormat/>
    <w:rsid w:val="003A0FF8"/>
    <w:pPr>
      <w:ind w:leftChars="200" w:left="480"/>
    </w:pPr>
  </w:style>
  <w:style w:type="character" w:styleId="a8">
    <w:name w:val="page number"/>
    <w:basedOn w:val="a0"/>
    <w:rsid w:val="00CC24AC"/>
  </w:style>
  <w:style w:type="table" w:styleId="a9">
    <w:name w:val="Table Grid"/>
    <w:basedOn w:val="a1"/>
    <w:uiPriority w:val="59"/>
    <w:rsid w:val="0081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340</Characters>
  <Application>Microsoft Office Word</Application>
  <DocSecurity>0</DocSecurity>
  <Lines>2</Lines>
  <Paragraphs>1</Paragraphs>
  <ScaleCrop>false</ScaleCrop>
  <Company>users</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秘書室王雯君</cp:lastModifiedBy>
  <cp:revision>2</cp:revision>
  <cp:lastPrinted>2014-03-19T02:16:00Z</cp:lastPrinted>
  <dcterms:created xsi:type="dcterms:W3CDTF">2017-01-13T07:05:00Z</dcterms:created>
  <dcterms:modified xsi:type="dcterms:W3CDTF">2017-01-13T07:05:00Z</dcterms:modified>
</cp:coreProperties>
</file>