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CD" w:rsidRDefault="008116CD" w:rsidP="008116CD">
      <w:pPr>
        <w:jc w:val="center"/>
        <w:rPr>
          <w:rFonts w:ascii="標楷體" w:eastAsia="標楷體" w:hAnsi="標楷體"/>
          <w:bCs/>
          <w:spacing w:val="20"/>
          <w:sz w:val="32"/>
          <w:szCs w:val="32"/>
        </w:rPr>
      </w:pPr>
      <w:bookmarkStart w:id="0" w:name="_GoBack"/>
      <w:r w:rsidRPr="008C01BC">
        <w:rPr>
          <w:rFonts w:ascii="標楷體" w:eastAsia="標楷體" w:hAnsi="標楷體" w:hint="eastAsia"/>
          <w:bCs/>
          <w:spacing w:val="20"/>
          <w:sz w:val="32"/>
          <w:szCs w:val="32"/>
        </w:rPr>
        <w:t>國立虎尾科技大學</w:t>
      </w:r>
      <w:r>
        <w:rPr>
          <w:rFonts w:ascii="標楷體" w:eastAsia="標楷體" w:hAnsi="標楷體" w:hint="eastAsia"/>
          <w:bCs/>
          <w:spacing w:val="20"/>
          <w:sz w:val="32"/>
          <w:szCs w:val="32"/>
        </w:rPr>
        <w:t>場地設備收入收支管理規定</w:t>
      </w:r>
    </w:p>
    <w:bookmarkEnd w:id="0"/>
    <w:p w:rsidR="008116CD" w:rsidRPr="003E2ABB" w:rsidRDefault="008116CD" w:rsidP="008116CD">
      <w:pPr>
        <w:tabs>
          <w:tab w:val="left" w:pos="3840"/>
        </w:tabs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E2ABB">
        <w:rPr>
          <w:rFonts w:ascii="標楷體" w:eastAsia="標楷體" w:hAnsi="標楷體" w:hint="eastAsia"/>
          <w:sz w:val="20"/>
          <w:szCs w:val="20"/>
        </w:rPr>
        <w:t>95年11月28日95學年度第1學期第2次校務基金管理委員會修正通過</w:t>
      </w:r>
    </w:p>
    <w:p w:rsidR="008116CD" w:rsidRPr="003E2ABB" w:rsidRDefault="008116CD" w:rsidP="008116CD">
      <w:pPr>
        <w:tabs>
          <w:tab w:val="left" w:pos="3840"/>
        </w:tabs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E2ABB">
        <w:rPr>
          <w:rFonts w:ascii="標楷體" w:eastAsia="標楷體" w:hAnsi="標楷體" w:hint="eastAsia"/>
          <w:sz w:val="20"/>
          <w:szCs w:val="20"/>
        </w:rPr>
        <w:t>96年4月17日95學年度第2學期第2次校務基金管理委員會修正通過</w:t>
      </w:r>
    </w:p>
    <w:p w:rsidR="008116CD" w:rsidRPr="003E2ABB" w:rsidRDefault="008116CD" w:rsidP="008116CD">
      <w:pPr>
        <w:tabs>
          <w:tab w:val="left" w:pos="3840"/>
        </w:tabs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E2ABB">
        <w:rPr>
          <w:rFonts w:ascii="標楷體" w:eastAsia="標楷體" w:hAnsi="標楷體" w:hint="eastAsia"/>
          <w:sz w:val="20"/>
          <w:szCs w:val="20"/>
        </w:rPr>
        <w:t>97年6月19日96學年度第2學期第3次校務基金管理委員會修正通過</w:t>
      </w:r>
    </w:p>
    <w:p w:rsidR="008116CD" w:rsidRPr="003E2ABB" w:rsidRDefault="008116CD" w:rsidP="008116CD">
      <w:pPr>
        <w:tabs>
          <w:tab w:val="left" w:pos="3840"/>
        </w:tabs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E2ABB">
        <w:rPr>
          <w:rFonts w:ascii="標楷體" w:eastAsia="標楷體" w:hAnsi="標楷體" w:hint="eastAsia"/>
          <w:sz w:val="20"/>
          <w:szCs w:val="20"/>
        </w:rPr>
        <w:t>97年10月23日97學年度第1學期第1次校務基金管理委員會修正通過</w:t>
      </w:r>
    </w:p>
    <w:p w:rsidR="008116CD" w:rsidRPr="003E2ABB" w:rsidRDefault="008116CD" w:rsidP="008116CD">
      <w:pPr>
        <w:tabs>
          <w:tab w:val="left" w:pos="3840"/>
        </w:tabs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E2ABB">
        <w:rPr>
          <w:rFonts w:ascii="標楷體" w:eastAsia="標楷體" w:hAnsi="標楷體" w:hint="eastAsia"/>
          <w:sz w:val="20"/>
          <w:szCs w:val="20"/>
        </w:rPr>
        <w:t>97年11月20日</w:t>
      </w:r>
      <w:proofErr w:type="gramStart"/>
      <w:r w:rsidRPr="003E2ABB">
        <w:rPr>
          <w:rFonts w:ascii="標楷體" w:eastAsia="標楷體" w:hAnsi="標楷體" w:hint="eastAsia"/>
          <w:sz w:val="20"/>
          <w:szCs w:val="20"/>
        </w:rPr>
        <w:t>教育部台技</w:t>
      </w:r>
      <w:proofErr w:type="gramEnd"/>
      <w:r w:rsidRPr="003E2ABB">
        <w:rPr>
          <w:rFonts w:ascii="標楷體" w:eastAsia="標楷體" w:hAnsi="標楷體" w:hint="eastAsia"/>
          <w:sz w:val="20"/>
          <w:szCs w:val="20"/>
        </w:rPr>
        <w:t>(二)字第0970226504號函核定</w:t>
      </w:r>
    </w:p>
    <w:p w:rsidR="008116CD" w:rsidRPr="003E2ABB" w:rsidRDefault="008116CD" w:rsidP="008116CD">
      <w:pPr>
        <w:tabs>
          <w:tab w:val="left" w:pos="3840"/>
        </w:tabs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E2ABB">
        <w:rPr>
          <w:rFonts w:ascii="標楷體" w:eastAsia="標楷體" w:hAnsi="標楷體" w:hint="eastAsia"/>
          <w:sz w:val="20"/>
          <w:szCs w:val="20"/>
        </w:rPr>
        <w:t>103年3月26日102學年度第2次校務基金管理委員會修正通過</w:t>
      </w:r>
    </w:p>
    <w:p w:rsidR="008116CD" w:rsidRPr="003E2ABB" w:rsidRDefault="008116CD" w:rsidP="008116CD">
      <w:pPr>
        <w:tabs>
          <w:tab w:val="left" w:pos="3840"/>
        </w:tabs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E2ABB">
        <w:rPr>
          <w:rFonts w:ascii="標楷體" w:eastAsia="標楷體" w:hAnsi="標楷體" w:hint="eastAsia"/>
          <w:sz w:val="20"/>
          <w:szCs w:val="20"/>
        </w:rPr>
        <w:t>103年5月5日教育部</w:t>
      </w:r>
      <w:proofErr w:type="gramStart"/>
      <w:r w:rsidRPr="003E2ABB">
        <w:rPr>
          <w:rFonts w:ascii="標楷體" w:eastAsia="標楷體" w:hAnsi="標楷體" w:hint="eastAsia"/>
          <w:sz w:val="20"/>
          <w:szCs w:val="20"/>
        </w:rPr>
        <w:t>臺教技</w:t>
      </w:r>
      <w:proofErr w:type="gramEnd"/>
      <w:r w:rsidRPr="003E2ABB">
        <w:rPr>
          <w:rFonts w:ascii="標楷體" w:eastAsia="標楷體" w:hAnsi="標楷體" w:hint="eastAsia"/>
          <w:sz w:val="20"/>
          <w:szCs w:val="20"/>
        </w:rPr>
        <w:t>(二)字第10300640640號函核定</w:t>
      </w:r>
    </w:p>
    <w:p w:rsidR="008116CD" w:rsidRDefault="008116CD" w:rsidP="008116CD">
      <w:pPr>
        <w:tabs>
          <w:tab w:val="left" w:pos="3840"/>
        </w:tabs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E2ABB">
        <w:rPr>
          <w:rFonts w:ascii="標楷體" w:eastAsia="標楷體" w:hAnsi="標楷體" w:hint="eastAsia"/>
          <w:sz w:val="20"/>
          <w:szCs w:val="20"/>
        </w:rPr>
        <w:t>111年3月10日110學年度第2次校務基金管理委員會修正通過</w:t>
      </w:r>
    </w:p>
    <w:p w:rsidR="008116CD" w:rsidRDefault="008116CD" w:rsidP="008116CD">
      <w:pPr>
        <w:tabs>
          <w:tab w:val="left" w:pos="3840"/>
        </w:tabs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E2ABB">
        <w:rPr>
          <w:rFonts w:ascii="標楷體" w:eastAsia="標楷體" w:hAnsi="標楷體" w:hint="eastAsia"/>
          <w:sz w:val="20"/>
          <w:szCs w:val="20"/>
        </w:rPr>
        <w:t>111年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3E2ABB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19</w:t>
      </w:r>
      <w:r w:rsidRPr="003E2ABB">
        <w:rPr>
          <w:rFonts w:ascii="標楷體" w:eastAsia="標楷體" w:hAnsi="標楷體" w:hint="eastAsia"/>
          <w:sz w:val="20"/>
          <w:szCs w:val="20"/>
        </w:rPr>
        <w:t>日110學年度第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3E2ABB">
        <w:rPr>
          <w:rFonts w:ascii="標楷體" w:eastAsia="標楷體" w:hAnsi="標楷體" w:hint="eastAsia"/>
          <w:sz w:val="20"/>
          <w:szCs w:val="20"/>
        </w:rPr>
        <w:t>次校務基金管理委員會修正通過</w:t>
      </w:r>
    </w:p>
    <w:p w:rsidR="008116CD" w:rsidRPr="00346029" w:rsidRDefault="008116CD" w:rsidP="008116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20" w:lineRule="exact"/>
        <w:ind w:right="-1004"/>
        <w:jc w:val="center"/>
        <w:rPr>
          <w:rFonts w:ascii="標楷體" w:eastAsia="標楷體" w:hAnsi="標楷體"/>
          <w:bCs/>
          <w:spacing w:val="20"/>
          <w:sz w:val="16"/>
          <w:szCs w:val="16"/>
        </w:rPr>
      </w:pPr>
    </w:p>
    <w:p w:rsidR="008116CD" w:rsidRPr="009C761C" w:rsidRDefault="008116CD" w:rsidP="008116CD">
      <w:pPr>
        <w:ind w:left="483" w:hangingChars="200" w:hanging="483"/>
        <w:jc w:val="both"/>
        <w:rPr>
          <w:rFonts w:eastAsia="標楷體"/>
        </w:rPr>
      </w:pPr>
      <w:r w:rsidRPr="009C761C">
        <w:rPr>
          <w:rFonts w:eastAsia="標楷體"/>
        </w:rPr>
        <w:t>一、本規定依「</w:t>
      </w:r>
      <w:r w:rsidRPr="009C761C">
        <w:rPr>
          <w:rFonts w:eastAsia="標楷體" w:hint="eastAsia"/>
        </w:rPr>
        <w:t>國立虎尾科技大學校務基金自籌收入收支管理規則</w:t>
      </w:r>
      <w:r w:rsidRPr="009C761C">
        <w:rPr>
          <w:rFonts w:eastAsia="標楷體"/>
        </w:rPr>
        <w:t>」訂定之。</w:t>
      </w:r>
    </w:p>
    <w:p w:rsidR="008116CD" w:rsidRPr="009C761C" w:rsidRDefault="008116CD" w:rsidP="008116CD">
      <w:pPr>
        <w:ind w:left="483" w:hangingChars="200" w:hanging="483"/>
        <w:jc w:val="both"/>
        <w:rPr>
          <w:rFonts w:eastAsia="標楷體"/>
        </w:rPr>
      </w:pPr>
      <w:r w:rsidRPr="009C761C">
        <w:rPr>
          <w:rFonts w:eastAsia="標楷體"/>
        </w:rPr>
        <w:t>二、本校場地設備由管理單位訂定其收費標準，循行政程序，簽請校長核定後實施。</w:t>
      </w:r>
    </w:p>
    <w:p w:rsidR="008116CD" w:rsidRPr="009C761C" w:rsidRDefault="008116CD" w:rsidP="008116CD">
      <w:pPr>
        <w:ind w:left="483" w:hangingChars="200" w:hanging="483"/>
        <w:jc w:val="both"/>
        <w:rPr>
          <w:rFonts w:eastAsia="標楷體"/>
        </w:rPr>
      </w:pPr>
      <w:r w:rsidRPr="009C761C">
        <w:rPr>
          <w:rFonts w:eastAsia="標楷體"/>
        </w:rPr>
        <w:t>三、以上收費標準，應衡量該場地設備投入及支出成本，視各場地設備性質及相關法令訂定之。</w:t>
      </w:r>
    </w:p>
    <w:p w:rsidR="008116CD" w:rsidRPr="009C761C" w:rsidRDefault="008116CD" w:rsidP="008116CD">
      <w:pPr>
        <w:ind w:left="483" w:hangingChars="200" w:hanging="483"/>
        <w:jc w:val="both"/>
        <w:rPr>
          <w:rFonts w:eastAsia="標楷體"/>
        </w:rPr>
      </w:pPr>
      <w:r w:rsidRPr="009C761C">
        <w:rPr>
          <w:rFonts w:eastAsia="標楷體"/>
        </w:rPr>
        <w:t>四、本收入之收支情形，其相關主管人員、經費執行人員、使用及保管資產人員，應負其執行預算、保管及使用資產之相關責任。</w:t>
      </w:r>
    </w:p>
    <w:p w:rsidR="008116CD" w:rsidRPr="009C761C" w:rsidRDefault="008116CD" w:rsidP="008116CD">
      <w:pPr>
        <w:ind w:left="483" w:hangingChars="200" w:hanging="483"/>
        <w:jc w:val="both"/>
        <w:rPr>
          <w:rFonts w:eastAsia="標楷體"/>
        </w:rPr>
      </w:pPr>
      <w:r w:rsidRPr="009C761C">
        <w:rPr>
          <w:rFonts w:eastAsia="標楷體"/>
        </w:rPr>
        <w:t>五、場地收入納入校務基金統籌運用支應相關支出。</w:t>
      </w:r>
    </w:p>
    <w:p w:rsidR="008116CD" w:rsidRPr="009C761C" w:rsidRDefault="008116CD" w:rsidP="008116CD">
      <w:pPr>
        <w:ind w:left="483" w:hangingChars="200" w:hanging="483"/>
        <w:jc w:val="both"/>
        <w:rPr>
          <w:rFonts w:eastAsia="標楷體"/>
        </w:rPr>
      </w:pPr>
      <w:r w:rsidRPr="009C761C">
        <w:rPr>
          <w:rFonts w:eastAsia="標楷體"/>
        </w:rPr>
        <w:t>六、設備收入</w:t>
      </w:r>
      <w:proofErr w:type="gramStart"/>
      <w:r w:rsidRPr="009C761C">
        <w:rPr>
          <w:rFonts w:eastAsia="標楷體"/>
        </w:rPr>
        <w:t>提撥</w:t>
      </w:r>
      <w:proofErr w:type="gramEnd"/>
      <w:r w:rsidRPr="009C761C">
        <w:rPr>
          <w:rFonts w:eastAsia="標楷體"/>
        </w:rPr>
        <w:t>比率如下</w:t>
      </w:r>
    </w:p>
    <w:p w:rsidR="008116CD" w:rsidRPr="009C761C" w:rsidRDefault="008116CD" w:rsidP="008116CD">
      <w:pPr>
        <w:ind w:leftChars="99" w:left="642" w:hangingChars="167" w:hanging="403"/>
        <w:rPr>
          <w:rFonts w:eastAsia="標楷體"/>
        </w:rPr>
      </w:pPr>
      <w:r w:rsidRPr="009C761C">
        <w:rPr>
          <w:rFonts w:eastAsia="標楷體"/>
        </w:rPr>
        <w:t>(</w:t>
      </w:r>
      <w:proofErr w:type="gramStart"/>
      <w:r w:rsidRPr="009C761C">
        <w:rPr>
          <w:rFonts w:eastAsia="標楷體"/>
        </w:rPr>
        <w:t>一</w:t>
      </w:r>
      <w:proofErr w:type="gramEnd"/>
      <w:r w:rsidRPr="009C761C">
        <w:rPr>
          <w:rFonts w:eastAsia="標楷體"/>
        </w:rPr>
        <w:t>)</w:t>
      </w:r>
      <w:r w:rsidRPr="009C761C">
        <w:rPr>
          <w:rFonts w:eastAsia="標楷體"/>
        </w:rPr>
        <w:t>使用貴重儀器之設備收入，</w:t>
      </w:r>
      <w:r w:rsidRPr="009C761C">
        <w:rPr>
          <w:rFonts w:eastAsia="標楷體" w:hint="eastAsia"/>
        </w:rPr>
        <w:t>百分之</w:t>
      </w:r>
      <w:r w:rsidRPr="00835659">
        <w:rPr>
          <w:rFonts w:eastAsia="標楷體" w:hint="eastAsia"/>
        </w:rPr>
        <w:t>五十</w:t>
      </w:r>
      <w:r w:rsidRPr="009C761C">
        <w:rPr>
          <w:rFonts w:eastAsia="標楷體"/>
        </w:rPr>
        <w:t>提繳校務基金統籌運用，</w:t>
      </w:r>
      <w:r w:rsidRPr="009C761C">
        <w:rPr>
          <w:rFonts w:eastAsia="標楷體" w:hint="eastAsia"/>
        </w:rPr>
        <w:t>百分</w:t>
      </w:r>
      <w:r w:rsidRPr="00835659">
        <w:rPr>
          <w:rFonts w:eastAsia="標楷體" w:hint="eastAsia"/>
        </w:rPr>
        <w:t>之五十</w:t>
      </w:r>
      <w:r w:rsidRPr="009C761C">
        <w:rPr>
          <w:rFonts w:eastAsia="標楷體"/>
        </w:rPr>
        <w:t>由管理單位支配運用。</w:t>
      </w:r>
    </w:p>
    <w:p w:rsidR="008116CD" w:rsidRPr="009C761C" w:rsidRDefault="008116CD" w:rsidP="008116CD">
      <w:pPr>
        <w:ind w:leftChars="100" w:left="241"/>
        <w:rPr>
          <w:rFonts w:eastAsia="標楷體"/>
        </w:rPr>
      </w:pPr>
      <w:r w:rsidRPr="009C761C">
        <w:rPr>
          <w:rFonts w:eastAsia="標楷體"/>
        </w:rPr>
        <w:t>(</w:t>
      </w:r>
      <w:r w:rsidRPr="009C761C">
        <w:rPr>
          <w:rFonts w:eastAsia="標楷體"/>
        </w:rPr>
        <w:t>二</w:t>
      </w:r>
      <w:r w:rsidRPr="009C761C">
        <w:rPr>
          <w:rFonts w:eastAsia="標楷體"/>
        </w:rPr>
        <w:t>)</w:t>
      </w:r>
      <w:r w:rsidRPr="009C761C">
        <w:rPr>
          <w:rFonts w:eastAsia="標楷體"/>
        </w:rPr>
        <w:t>其他設備收入，</w:t>
      </w:r>
      <w:r w:rsidRPr="009C761C">
        <w:rPr>
          <w:rFonts w:eastAsia="標楷體" w:hint="eastAsia"/>
        </w:rPr>
        <w:t>百分之六十</w:t>
      </w:r>
      <w:r w:rsidRPr="009C761C">
        <w:rPr>
          <w:rFonts w:eastAsia="標楷體"/>
        </w:rPr>
        <w:t>提繳校務基金統籌運用，</w:t>
      </w:r>
      <w:r w:rsidRPr="009C761C">
        <w:rPr>
          <w:rFonts w:eastAsia="標楷體" w:hint="eastAsia"/>
        </w:rPr>
        <w:t>百分之四十</w:t>
      </w:r>
      <w:r w:rsidRPr="009C761C">
        <w:rPr>
          <w:rFonts w:eastAsia="標楷體"/>
        </w:rPr>
        <w:t>由管理單位支配運用。</w:t>
      </w:r>
    </w:p>
    <w:p w:rsidR="008116CD" w:rsidRPr="009C761C" w:rsidRDefault="008116CD" w:rsidP="008116CD">
      <w:pPr>
        <w:rPr>
          <w:rFonts w:eastAsia="標楷體"/>
        </w:rPr>
      </w:pPr>
      <w:r w:rsidRPr="009C761C">
        <w:rPr>
          <w:rFonts w:eastAsia="標楷體"/>
        </w:rPr>
        <w:t>七、支應用途如下</w:t>
      </w:r>
    </w:p>
    <w:p w:rsidR="008116CD" w:rsidRPr="009C761C" w:rsidRDefault="008116CD" w:rsidP="008116CD">
      <w:pPr>
        <w:ind w:leftChars="100" w:left="241"/>
        <w:rPr>
          <w:rFonts w:eastAsia="標楷體"/>
        </w:rPr>
      </w:pPr>
      <w:r w:rsidRPr="009C761C">
        <w:rPr>
          <w:rFonts w:eastAsia="標楷體"/>
        </w:rPr>
        <w:t>(</w:t>
      </w:r>
      <w:proofErr w:type="gramStart"/>
      <w:r w:rsidRPr="009C761C">
        <w:rPr>
          <w:rFonts w:eastAsia="標楷體"/>
        </w:rPr>
        <w:t>一</w:t>
      </w:r>
      <w:proofErr w:type="gramEnd"/>
      <w:r w:rsidRPr="009C761C">
        <w:rPr>
          <w:rFonts w:eastAsia="標楷體"/>
        </w:rPr>
        <w:t>)</w:t>
      </w:r>
      <w:r w:rsidRPr="009C761C">
        <w:rPr>
          <w:rFonts w:eastAsia="標楷體"/>
        </w:rPr>
        <w:t>用於「</w:t>
      </w:r>
      <w:r w:rsidRPr="009C761C">
        <w:rPr>
          <w:rFonts w:eastAsia="標楷體" w:hint="eastAsia"/>
        </w:rPr>
        <w:t>國立虎尾科技大學校務基金自籌收入收支管理規則</w:t>
      </w:r>
      <w:r w:rsidRPr="009C761C">
        <w:rPr>
          <w:rFonts w:eastAsia="標楷體"/>
        </w:rPr>
        <w:t>」第</w:t>
      </w:r>
      <w:r w:rsidRPr="009C761C">
        <w:rPr>
          <w:rFonts w:eastAsia="標楷體" w:hint="eastAsia"/>
        </w:rPr>
        <w:t>四</w:t>
      </w:r>
      <w:r w:rsidRPr="009C761C">
        <w:rPr>
          <w:rFonts w:eastAsia="標楷體"/>
        </w:rPr>
        <w:t>條所定事項。</w:t>
      </w:r>
    </w:p>
    <w:p w:rsidR="008116CD" w:rsidRPr="009C761C" w:rsidRDefault="008116CD" w:rsidP="008116CD">
      <w:pPr>
        <w:ind w:leftChars="100" w:left="241"/>
        <w:rPr>
          <w:rFonts w:eastAsia="標楷體"/>
        </w:rPr>
      </w:pPr>
      <w:r w:rsidRPr="009C761C">
        <w:rPr>
          <w:rFonts w:eastAsia="標楷體"/>
        </w:rPr>
        <w:t>(</w:t>
      </w:r>
      <w:r w:rsidRPr="009C761C">
        <w:rPr>
          <w:rFonts w:eastAsia="標楷體"/>
        </w:rPr>
        <w:t>二</w:t>
      </w:r>
      <w:r w:rsidRPr="009C761C">
        <w:rPr>
          <w:rFonts w:eastAsia="標楷體"/>
        </w:rPr>
        <w:t>)</w:t>
      </w:r>
      <w:r w:rsidRPr="009C761C">
        <w:rPr>
          <w:rFonts w:eastAsia="標楷體"/>
        </w:rPr>
        <w:t>場地設備維護、購置、</w:t>
      </w:r>
      <w:proofErr w:type="gramStart"/>
      <w:r w:rsidRPr="009C761C">
        <w:rPr>
          <w:rFonts w:eastAsia="標楷體"/>
        </w:rPr>
        <w:t>汰</w:t>
      </w:r>
      <w:proofErr w:type="gramEnd"/>
      <w:r w:rsidRPr="009C761C">
        <w:rPr>
          <w:rFonts w:eastAsia="標楷體"/>
        </w:rPr>
        <w:t>換、租賃等相關費用支出。</w:t>
      </w:r>
    </w:p>
    <w:p w:rsidR="008116CD" w:rsidRPr="009C761C" w:rsidRDefault="008116CD" w:rsidP="008116CD">
      <w:pPr>
        <w:ind w:leftChars="100" w:left="241"/>
        <w:rPr>
          <w:rFonts w:eastAsia="標楷體"/>
        </w:rPr>
      </w:pPr>
      <w:r w:rsidRPr="009C761C">
        <w:rPr>
          <w:rFonts w:eastAsia="標楷體"/>
        </w:rPr>
        <w:t>(</w:t>
      </w:r>
      <w:r w:rsidRPr="009C761C">
        <w:rPr>
          <w:rFonts w:eastAsia="標楷體"/>
        </w:rPr>
        <w:t>三</w:t>
      </w:r>
      <w:r w:rsidRPr="009C761C">
        <w:rPr>
          <w:rFonts w:eastAsia="標楷體"/>
        </w:rPr>
        <w:t>)</w:t>
      </w:r>
      <w:r w:rsidRPr="009C761C">
        <w:rPr>
          <w:rFonts w:eastAsia="標楷體"/>
        </w:rPr>
        <w:t>場地安全、衛生及環境保護費支出。</w:t>
      </w:r>
    </w:p>
    <w:p w:rsidR="008116CD" w:rsidRPr="009C761C" w:rsidRDefault="008116CD" w:rsidP="008116CD">
      <w:pPr>
        <w:ind w:leftChars="100" w:left="241"/>
        <w:rPr>
          <w:rFonts w:eastAsia="標楷體"/>
        </w:rPr>
      </w:pPr>
      <w:r w:rsidRPr="009C761C">
        <w:rPr>
          <w:rFonts w:eastAsia="標楷體"/>
        </w:rPr>
        <w:t>(</w:t>
      </w:r>
      <w:r w:rsidRPr="009C761C">
        <w:rPr>
          <w:rFonts w:eastAsia="標楷體"/>
        </w:rPr>
        <w:t>四</w:t>
      </w:r>
      <w:r w:rsidRPr="009C761C">
        <w:rPr>
          <w:rFonts w:eastAsia="標楷體"/>
        </w:rPr>
        <w:t>)</w:t>
      </w:r>
      <w:r w:rsidRPr="009C761C">
        <w:rPr>
          <w:rFonts w:eastAsia="標楷體"/>
        </w:rPr>
        <w:t>行政支援人員加班費</w:t>
      </w:r>
      <w:r w:rsidRPr="009C761C">
        <w:rPr>
          <w:rFonts w:eastAsia="標楷體" w:hint="eastAsia"/>
        </w:rPr>
        <w:t>，並依</w:t>
      </w:r>
      <w:proofErr w:type="gramStart"/>
      <w:r w:rsidRPr="009C761C">
        <w:rPr>
          <w:rFonts w:eastAsia="標楷體" w:hint="eastAsia"/>
        </w:rPr>
        <w:t>行政院函頒加班</w:t>
      </w:r>
      <w:proofErr w:type="gramEnd"/>
      <w:r w:rsidRPr="009C761C">
        <w:rPr>
          <w:rFonts w:eastAsia="標楷體" w:hint="eastAsia"/>
        </w:rPr>
        <w:t>管制規定辦理</w:t>
      </w:r>
      <w:r w:rsidRPr="009C761C">
        <w:rPr>
          <w:rFonts w:eastAsia="標楷體"/>
        </w:rPr>
        <w:t>。</w:t>
      </w:r>
    </w:p>
    <w:p w:rsidR="008116CD" w:rsidRPr="009C761C" w:rsidRDefault="008116CD" w:rsidP="008116CD">
      <w:pPr>
        <w:ind w:leftChars="99" w:left="642" w:hangingChars="167" w:hanging="403"/>
        <w:rPr>
          <w:rFonts w:eastAsia="標楷體"/>
        </w:rPr>
      </w:pPr>
      <w:r w:rsidRPr="009C761C">
        <w:rPr>
          <w:rFonts w:eastAsia="標楷體"/>
        </w:rPr>
        <w:t>(</w:t>
      </w:r>
      <w:r w:rsidRPr="009C761C">
        <w:rPr>
          <w:rFonts w:eastAsia="標楷體"/>
        </w:rPr>
        <w:t>五</w:t>
      </w:r>
      <w:r w:rsidRPr="009C761C">
        <w:rPr>
          <w:rFonts w:eastAsia="標楷體"/>
        </w:rPr>
        <w:t>)</w:t>
      </w:r>
      <w:r w:rsidRPr="009C761C">
        <w:rPr>
          <w:rFonts w:eastAsia="標楷體" w:hint="eastAsia"/>
        </w:rPr>
        <w:t>場地設備收入支應之人事費應</w:t>
      </w:r>
      <w:proofErr w:type="gramStart"/>
      <w:r w:rsidRPr="009C761C">
        <w:rPr>
          <w:rFonts w:eastAsia="標楷體" w:hint="eastAsia"/>
        </w:rPr>
        <w:t>併</w:t>
      </w:r>
      <w:proofErr w:type="gramEnd"/>
      <w:r w:rsidRPr="009C761C">
        <w:rPr>
          <w:rFonts w:eastAsia="標楷體" w:hint="eastAsia"/>
        </w:rPr>
        <w:t>計自籌收入於本校「</w:t>
      </w:r>
      <w:hyperlink r:id="rId6" w:history="1">
        <w:r w:rsidRPr="00FC2351">
          <w:rPr>
            <w:rFonts w:ascii="標楷體" w:eastAsia="標楷體" w:hAnsi="標楷體" w:hint="eastAsia"/>
          </w:rPr>
          <w:t>校務基金自籌收入得支給人事費支應原則</w:t>
        </w:r>
      </w:hyperlink>
      <w:r w:rsidRPr="00FC2351">
        <w:rPr>
          <w:rFonts w:eastAsia="標楷體" w:hint="eastAsia"/>
        </w:rPr>
        <w:t>」所訂各類人員每月得支應經費比率上限</w:t>
      </w:r>
      <w:proofErr w:type="gramStart"/>
      <w:r w:rsidRPr="00FC2351">
        <w:rPr>
          <w:rFonts w:eastAsia="標楷體" w:hint="eastAsia"/>
        </w:rPr>
        <w:t>範</w:t>
      </w:r>
      <w:r w:rsidRPr="009C761C">
        <w:rPr>
          <w:rFonts w:eastAsia="標楷體" w:hint="eastAsia"/>
        </w:rPr>
        <w:t>圍內支給</w:t>
      </w:r>
      <w:proofErr w:type="gramEnd"/>
      <w:r w:rsidRPr="009C761C">
        <w:rPr>
          <w:rFonts w:eastAsia="標楷體"/>
        </w:rPr>
        <w:t>。</w:t>
      </w:r>
    </w:p>
    <w:p w:rsidR="008116CD" w:rsidRPr="009C761C" w:rsidRDefault="008116CD" w:rsidP="008116CD">
      <w:pPr>
        <w:ind w:leftChars="100" w:left="241"/>
        <w:rPr>
          <w:rFonts w:eastAsia="標楷體"/>
        </w:rPr>
      </w:pPr>
      <w:r w:rsidRPr="009C761C">
        <w:rPr>
          <w:rFonts w:eastAsia="標楷體"/>
        </w:rPr>
        <w:t>(</w:t>
      </w:r>
      <w:r w:rsidRPr="009C761C">
        <w:rPr>
          <w:rFonts w:eastAsia="標楷體" w:hint="eastAsia"/>
        </w:rPr>
        <w:t>六</w:t>
      </w:r>
      <w:r w:rsidRPr="009C761C">
        <w:rPr>
          <w:rFonts w:eastAsia="標楷體"/>
        </w:rPr>
        <w:t>)</w:t>
      </w:r>
      <w:r w:rsidRPr="009C761C">
        <w:rPr>
          <w:rFonts w:eastAsia="標楷體"/>
        </w:rPr>
        <w:t>其他必要之行政作業費。</w:t>
      </w:r>
    </w:p>
    <w:p w:rsidR="008116CD" w:rsidRPr="00D14EF8" w:rsidRDefault="008116CD" w:rsidP="008116CD">
      <w:pPr>
        <w:ind w:left="483" w:hangingChars="200" w:hanging="483"/>
        <w:jc w:val="both"/>
        <w:rPr>
          <w:rFonts w:eastAsia="標楷體"/>
        </w:rPr>
      </w:pPr>
      <w:r w:rsidRPr="009C761C">
        <w:rPr>
          <w:rFonts w:eastAsia="標楷體"/>
        </w:rPr>
        <w:t>八、</w:t>
      </w:r>
      <w:r w:rsidRPr="009C761C">
        <w:rPr>
          <w:rFonts w:eastAsia="標楷體" w:hint="eastAsia"/>
        </w:rPr>
        <w:t>本規定經</w:t>
      </w:r>
      <w:r>
        <w:rPr>
          <w:rFonts w:eastAsia="標楷體" w:hint="eastAsia"/>
        </w:rPr>
        <w:t>校務基金管理委員會</w:t>
      </w:r>
      <w:r w:rsidRPr="00CC0DCE">
        <w:rPr>
          <w:rFonts w:eastAsia="標楷體" w:hint="eastAsia"/>
        </w:rPr>
        <w:t>通過</w:t>
      </w:r>
      <w:r w:rsidRPr="00EB00DD">
        <w:rPr>
          <w:rFonts w:eastAsia="標楷體" w:hint="eastAsia"/>
          <w:color w:val="000000"/>
        </w:rPr>
        <w:t>後核定實施</w:t>
      </w:r>
      <w:r w:rsidRPr="00CC0DCE">
        <w:rPr>
          <w:rFonts w:eastAsia="標楷體" w:hint="eastAsia"/>
        </w:rPr>
        <w:t>，</w:t>
      </w:r>
      <w:r w:rsidRPr="005E5554">
        <w:rPr>
          <w:rFonts w:eastAsia="標楷體" w:hint="eastAsia"/>
          <w:color w:val="000000"/>
        </w:rPr>
        <w:t>並報教育部備查</w:t>
      </w:r>
      <w:r>
        <w:rPr>
          <w:rFonts w:eastAsia="標楷體" w:hint="eastAsia"/>
        </w:rPr>
        <w:t>，</w:t>
      </w:r>
      <w:r w:rsidRPr="009C761C">
        <w:rPr>
          <w:rFonts w:eastAsia="標楷體" w:hint="eastAsia"/>
        </w:rPr>
        <w:t>修正時亦同。</w:t>
      </w:r>
    </w:p>
    <w:p w:rsidR="008116CD" w:rsidRPr="00804D3C" w:rsidRDefault="008116CD" w:rsidP="008116CD"/>
    <w:p w:rsidR="00B36516" w:rsidRPr="008116CD" w:rsidRDefault="00B36516"/>
    <w:sectPr w:rsidR="00B36516" w:rsidRPr="008116CD" w:rsidSect="008C1501">
      <w:headerReference w:type="default" r:id="rId7"/>
      <w:footerReference w:type="default" r:id="rId8"/>
      <w:pgSz w:w="11906" w:h="16838" w:code="9"/>
      <w:pgMar w:top="1134" w:right="851" w:bottom="1134" w:left="1134" w:header="567" w:footer="567" w:gutter="0"/>
      <w:cols w:space="425"/>
      <w:docGrid w:type="linesAndChars" w:linePitch="360" w:charSpace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83" w:rsidRDefault="00951D83" w:rsidP="008116CD">
      <w:r>
        <w:separator/>
      </w:r>
    </w:p>
  </w:endnote>
  <w:endnote w:type="continuationSeparator" w:id="0">
    <w:p w:rsidR="00951D83" w:rsidRDefault="00951D83" w:rsidP="0081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DB" w:rsidRDefault="00951D83" w:rsidP="000C16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83" w:rsidRDefault="00951D83" w:rsidP="008116CD">
      <w:r>
        <w:separator/>
      </w:r>
    </w:p>
  </w:footnote>
  <w:footnote w:type="continuationSeparator" w:id="0">
    <w:p w:rsidR="00951D83" w:rsidRDefault="00951D83" w:rsidP="0081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DB" w:rsidRDefault="00951D83" w:rsidP="000C16D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CD"/>
    <w:rsid w:val="008116CD"/>
    <w:rsid w:val="00951D83"/>
    <w:rsid w:val="00B3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F885"/>
  <w15:chartTrackingRefBased/>
  <w15:docId w15:val="{44273F56-44D0-4977-AD44-1F9941B0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1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116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11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116CD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81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sonnel.nfu.edu.tw/ezfiles/8/1008/img/745/989885170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2022-05-20T02:43:00Z</dcterms:created>
  <dcterms:modified xsi:type="dcterms:W3CDTF">2022-05-20T02:44:00Z</dcterms:modified>
</cp:coreProperties>
</file>